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77" w:rsidRPr="00497696" w:rsidRDefault="00EC5888" w:rsidP="00497696">
      <w:pPr>
        <w:pageBreakBefore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Załuski, dnia 03.02</w:t>
      </w:r>
      <w:r w:rsidR="00A751FB" w:rsidRPr="00497696">
        <w:rPr>
          <w:rFonts w:cs="Times New Roman"/>
        </w:rPr>
        <w:t>.2015</w:t>
      </w:r>
      <w:r w:rsidR="00CC5777" w:rsidRPr="00497696">
        <w:rPr>
          <w:rFonts w:cs="Times New Roman"/>
        </w:rPr>
        <w:t>r.</w:t>
      </w:r>
    </w:p>
    <w:p w:rsidR="00CC5777" w:rsidRPr="00497696" w:rsidRDefault="00A751FB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Nr 6220.4.2015</w:t>
      </w:r>
    </w:p>
    <w:p w:rsidR="00CC5777" w:rsidRPr="00497696" w:rsidRDefault="00CC5777" w:rsidP="00497696">
      <w:pPr>
        <w:spacing w:line="360" w:lineRule="auto"/>
        <w:jc w:val="center"/>
        <w:rPr>
          <w:rFonts w:cs="Times New Roman"/>
          <w:b/>
          <w:bCs/>
        </w:rPr>
      </w:pPr>
    </w:p>
    <w:p w:rsidR="00DF5D31" w:rsidRPr="00497696" w:rsidRDefault="00DF5D31" w:rsidP="00497696">
      <w:pPr>
        <w:pStyle w:val="TableContents"/>
        <w:spacing w:line="360" w:lineRule="auto"/>
        <w:jc w:val="center"/>
        <w:rPr>
          <w:rFonts w:cs="Times New Roman"/>
          <w:b/>
        </w:rPr>
      </w:pPr>
      <w:r w:rsidRPr="00497696">
        <w:rPr>
          <w:rFonts w:cs="Times New Roman"/>
          <w:b/>
        </w:rPr>
        <w:t>DECYZJA</w:t>
      </w:r>
      <w:r w:rsidRPr="00497696">
        <w:rPr>
          <w:rFonts w:cs="Times New Roman"/>
          <w:b/>
        </w:rPr>
        <w:br/>
        <w:t>o środowiskowych uwarunkowaniach</w:t>
      </w:r>
    </w:p>
    <w:p w:rsidR="00DF5D31" w:rsidRPr="00497696" w:rsidRDefault="00DF5D31" w:rsidP="00497696">
      <w:pPr>
        <w:pStyle w:val="TableContents"/>
        <w:spacing w:after="283" w:line="360" w:lineRule="auto"/>
        <w:jc w:val="both"/>
        <w:rPr>
          <w:rFonts w:cs="Times New Roman"/>
        </w:rPr>
      </w:pPr>
      <w:r w:rsidRPr="00497696">
        <w:rPr>
          <w:rFonts w:cs="Times New Roman"/>
        </w:rPr>
        <w:br/>
      </w:r>
      <w:r w:rsidRPr="00497696">
        <w:rPr>
          <w:rFonts w:cs="Times New Roman"/>
          <w:color w:val="000000"/>
        </w:rPr>
        <w:t>Na podstawie art. 104 ustawy z dnia 14 czerwca 1960 r. Kodeks</w:t>
      </w:r>
      <w:r w:rsidR="00700DE0" w:rsidRPr="00497696">
        <w:rPr>
          <w:rFonts w:cs="Times New Roman"/>
          <w:color w:val="000000"/>
        </w:rPr>
        <w:t xml:space="preserve"> postępowania administracyjnego</w:t>
      </w:r>
      <w:r w:rsidRPr="00497696">
        <w:rPr>
          <w:rFonts w:cs="Times New Roman"/>
          <w:color w:val="000000"/>
        </w:rPr>
        <w:t xml:space="preserve"> (Dz. U. z 2013 r. poz. 267, zwanej dalej k.p.a.) w związku z:</w:t>
      </w:r>
    </w:p>
    <w:p w:rsidR="00497696" w:rsidRPr="00497696" w:rsidRDefault="00497696" w:rsidP="00497696">
      <w:pPr>
        <w:pStyle w:val="TableContents"/>
        <w:numPr>
          <w:ilvl w:val="0"/>
          <w:numId w:val="5"/>
        </w:numPr>
        <w:spacing w:after="283" w:line="360" w:lineRule="auto"/>
        <w:jc w:val="both"/>
        <w:rPr>
          <w:rFonts w:cs="Times New Roman"/>
        </w:rPr>
      </w:pPr>
      <w:r w:rsidRPr="00497696">
        <w:rPr>
          <w:rFonts w:cs="Times New Roman"/>
          <w:color w:val="000000"/>
        </w:rPr>
        <w:t xml:space="preserve">art. 71 ust. 2 pkt. 2, art. 75 ust. 1 pkt. 4 oraz art. 84 i art. 85 ust. 1 </w:t>
      </w:r>
      <w:r w:rsidRPr="00497696">
        <w:rPr>
          <w:rFonts w:cs="Times New Roman"/>
          <w:color w:val="FF0000"/>
        </w:rPr>
        <w:t xml:space="preserve"> </w:t>
      </w:r>
      <w:r w:rsidRPr="00497696">
        <w:rPr>
          <w:rFonts w:cs="Times New Roman"/>
          <w:color w:val="000000"/>
        </w:rPr>
        <w:t>ustawy z dnia 3 października 2008 r. o udostępnianiu informacji o środowisku i jego ochronie, udziale społeczeństwa w ochronie</w:t>
      </w:r>
      <w:r w:rsidRPr="00497696">
        <w:rPr>
          <w:rFonts w:cs="Times New Roman"/>
        </w:rPr>
        <w:t xml:space="preserve"> środowiska oraz ocenach oddziaływania na środowisko                         (Dz. U. z 2013, poz. 1235 </w:t>
      </w:r>
      <w:proofErr w:type="spellStart"/>
      <w:r w:rsidRPr="00497696">
        <w:rPr>
          <w:rFonts w:cs="Times New Roman"/>
        </w:rPr>
        <w:t>t.j</w:t>
      </w:r>
      <w:proofErr w:type="spellEnd"/>
      <w:r w:rsidRPr="00497696">
        <w:rPr>
          <w:rFonts w:cs="Times New Roman"/>
        </w:rPr>
        <w:t>., przywołanej dalej jako „</w:t>
      </w:r>
      <w:proofErr w:type="spellStart"/>
      <w:r w:rsidRPr="00497696">
        <w:rPr>
          <w:rFonts w:cs="Times New Roman"/>
        </w:rPr>
        <w:t>Uooś</w:t>
      </w:r>
      <w:proofErr w:type="spellEnd"/>
      <w:r w:rsidRPr="00497696">
        <w:rPr>
          <w:rFonts w:cs="Times New Roman"/>
        </w:rPr>
        <w:t>” )</w:t>
      </w:r>
    </w:p>
    <w:p w:rsidR="00497696" w:rsidRPr="00497696" w:rsidRDefault="005B7C12" w:rsidP="00497696">
      <w:pPr>
        <w:pStyle w:val="TableContents"/>
        <w:numPr>
          <w:ilvl w:val="0"/>
          <w:numId w:val="4"/>
        </w:numPr>
        <w:spacing w:after="283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§ 3 ust. 1 pkt. </w:t>
      </w:r>
      <w:r w:rsidR="00FE7D29">
        <w:rPr>
          <w:rFonts w:cs="Times New Roman"/>
          <w:color w:val="000000"/>
        </w:rPr>
        <w:t xml:space="preserve">56 oraz § 3 ust. 1 pkt. </w:t>
      </w:r>
      <w:r>
        <w:rPr>
          <w:rFonts w:cs="Times New Roman"/>
          <w:color w:val="000000"/>
        </w:rPr>
        <w:t>92</w:t>
      </w:r>
      <w:r w:rsidR="00497696" w:rsidRPr="00497696">
        <w:rPr>
          <w:rFonts w:cs="Times New Roman"/>
          <w:color w:val="000000"/>
        </w:rPr>
        <w:t xml:space="preserve"> Rozporządzenia Rady Ministrów z dnia 9 listopada 2010 r. w sprawie przedsięwzięć mogących znacząco oddziaływać na środowisko (Dz. U. Nr 213 poz. 1397 ze zm.)</w:t>
      </w:r>
    </w:p>
    <w:p w:rsidR="00DF5D31" w:rsidRPr="00497696" w:rsidRDefault="00DF5D31" w:rsidP="00497696">
      <w:pPr>
        <w:pStyle w:val="TableContents"/>
        <w:spacing w:line="360" w:lineRule="auto"/>
        <w:jc w:val="center"/>
        <w:rPr>
          <w:rFonts w:cs="Times New Roman"/>
          <w:b/>
          <w:bCs/>
        </w:rPr>
      </w:pPr>
      <w:r w:rsidRPr="00497696">
        <w:rPr>
          <w:rFonts w:cs="Times New Roman"/>
          <w:b/>
          <w:bCs/>
        </w:rPr>
        <w:t>STWIERDZAM</w:t>
      </w:r>
    </w:p>
    <w:p w:rsidR="00497696" w:rsidRPr="00497696" w:rsidRDefault="00DF5D31" w:rsidP="00497696">
      <w:pPr>
        <w:pStyle w:val="TableContents"/>
        <w:spacing w:after="283" w:line="360" w:lineRule="auto"/>
        <w:jc w:val="both"/>
        <w:rPr>
          <w:rFonts w:cs="Times New Roman"/>
          <w:b/>
          <w:bCs/>
        </w:rPr>
      </w:pPr>
      <w:r w:rsidRPr="00497696">
        <w:rPr>
          <w:rFonts w:cs="Times New Roman"/>
          <w:b/>
          <w:bCs/>
        </w:rPr>
        <w:t xml:space="preserve">brak potrzeby przeprowadzania oceny oddziaływania na środowisko dla przedsięwzięcia polegającego na </w:t>
      </w:r>
      <w:r w:rsidR="00497696" w:rsidRPr="00497696">
        <w:rPr>
          <w:rFonts w:cs="Times New Roman"/>
          <w:b/>
          <w:bCs/>
        </w:rPr>
        <w:t xml:space="preserve">przebudowie z rozbudową zakładu przetwórstwa warzyw Green </w:t>
      </w:r>
      <w:proofErr w:type="spellStart"/>
      <w:r w:rsidR="00497696" w:rsidRPr="00497696">
        <w:rPr>
          <w:rFonts w:cs="Times New Roman"/>
          <w:b/>
          <w:bCs/>
        </w:rPr>
        <w:t>Factory</w:t>
      </w:r>
      <w:proofErr w:type="spellEnd"/>
      <w:r w:rsidR="00497696" w:rsidRPr="00497696">
        <w:rPr>
          <w:rFonts w:cs="Times New Roman"/>
          <w:b/>
          <w:bCs/>
        </w:rPr>
        <w:t xml:space="preserve"> Artur Rytel Sp. z o.o. na działkach o nr ew. 48/26 i 48/28 w miejscowości Zdunowo, gmina Załuski.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</w:p>
    <w:p w:rsidR="00497696" w:rsidRDefault="00497696" w:rsidP="00906FD5">
      <w:pPr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W dniu 30 września 2014 r. Green </w:t>
      </w:r>
      <w:proofErr w:type="spellStart"/>
      <w:r w:rsidRPr="00497696">
        <w:rPr>
          <w:rFonts w:cs="Times New Roman"/>
          <w:bCs/>
        </w:rPr>
        <w:t>Factory</w:t>
      </w:r>
      <w:proofErr w:type="spellEnd"/>
      <w:r w:rsidRPr="00497696">
        <w:rPr>
          <w:rFonts w:cs="Times New Roman"/>
          <w:bCs/>
        </w:rPr>
        <w:t xml:space="preserve"> Artur Rytel Sp. z </w:t>
      </w:r>
      <w:proofErr w:type="spellStart"/>
      <w:r w:rsidRPr="00497696">
        <w:rPr>
          <w:rFonts w:cs="Times New Roman"/>
          <w:bCs/>
        </w:rPr>
        <w:t>o.o</w:t>
      </w:r>
      <w:proofErr w:type="spellEnd"/>
      <w:r w:rsidRPr="00497696">
        <w:rPr>
          <w:rFonts w:cs="Times New Roman"/>
          <w:bCs/>
        </w:rPr>
        <w:t xml:space="preserve">, miejscowość Zdunowo, 09-142 Załuski, działając poprzez pełnomocnika Pana Andrzeja Marcinkowskiego wystąpił z wnioskiem o wydanie decyzji o środowiskowych uwarunkowaniach dla przedsięwzięcia polegającego na przebudowie z rozbudową zakładu przetwórstwa warzyw Green </w:t>
      </w:r>
      <w:proofErr w:type="spellStart"/>
      <w:r w:rsidRPr="00497696">
        <w:rPr>
          <w:rFonts w:cs="Times New Roman"/>
          <w:bCs/>
        </w:rPr>
        <w:t>Factory</w:t>
      </w:r>
      <w:proofErr w:type="spellEnd"/>
      <w:r w:rsidRPr="00497696">
        <w:rPr>
          <w:rFonts w:cs="Times New Roman"/>
          <w:bCs/>
        </w:rPr>
        <w:t xml:space="preserve"> Artur Rytel Sp. z o.o. na działkach o nr ew. 48/26 i 48/28 w miejscowości Zdunowo, gmina Załuski. Do wniosku dołączono</w:t>
      </w:r>
      <w:r w:rsidR="00906FD5">
        <w:rPr>
          <w:rFonts w:cs="Times New Roman"/>
          <w:bCs/>
        </w:rPr>
        <w:t xml:space="preserve"> dokumenty określone w art. 74 ust. 1 pkt. 2, 3, 6 ustawy </w:t>
      </w:r>
      <w:proofErr w:type="spellStart"/>
      <w:r w:rsidR="00906FD5">
        <w:rPr>
          <w:rFonts w:cs="Times New Roman"/>
          <w:bCs/>
        </w:rPr>
        <w:t>Uooś</w:t>
      </w:r>
      <w:proofErr w:type="spellEnd"/>
      <w:r w:rsidR="00906FD5">
        <w:rPr>
          <w:rFonts w:cs="Times New Roman"/>
          <w:bCs/>
        </w:rPr>
        <w:t>.</w:t>
      </w:r>
    </w:p>
    <w:p w:rsidR="00906FD5" w:rsidRPr="00497696" w:rsidRDefault="00906FD5" w:rsidP="008A13C0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dniu </w:t>
      </w:r>
      <w:r w:rsidR="00064DBF">
        <w:rPr>
          <w:rFonts w:cs="Times New Roman"/>
          <w:bCs/>
        </w:rPr>
        <w:t xml:space="preserve">13.11.2014 r. Wójt Gminy Załuski wszczął postępowanie administracyjne w sprawie wydania decyzji o środowiskowych uwarunkowaniach dla przedsięwzięcia polegającego na przebudowie </w:t>
      </w:r>
      <w:r w:rsidR="00064DBF" w:rsidRPr="00064DBF">
        <w:rPr>
          <w:rFonts w:cs="Times New Roman"/>
          <w:bCs/>
        </w:rPr>
        <w:t xml:space="preserve">z rozbudową zakładu przetwórstwa warzyw Green </w:t>
      </w:r>
      <w:proofErr w:type="spellStart"/>
      <w:r w:rsidR="00064DBF" w:rsidRPr="00064DBF">
        <w:rPr>
          <w:rFonts w:cs="Times New Roman"/>
          <w:bCs/>
        </w:rPr>
        <w:t>Factory</w:t>
      </w:r>
      <w:proofErr w:type="spellEnd"/>
      <w:r w:rsidR="00064DBF" w:rsidRPr="00064DBF">
        <w:rPr>
          <w:rFonts w:cs="Times New Roman"/>
          <w:bCs/>
        </w:rPr>
        <w:t xml:space="preserve"> </w:t>
      </w:r>
      <w:r w:rsidR="00064DBF" w:rsidRPr="00064DBF">
        <w:rPr>
          <w:rFonts w:cs="Times New Roman"/>
          <w:bCs/>
        </w:rPr>
        <w:lastRenderedPageBreak/>
        <w:t>Artur Rytel Sp. z o.o. na działkach o nr ew. 48/26 i 48/28 w miejscowości Zdunowo, gmina Załuski.</w:t>
      </w:r>
      <w:r w:rsidR="00FC1673">
        <w:rPr>
          <w:rFonts w:cs="Times New Roman"/>
          <w:bCs/>
        </w:rPr>
        <w:t xml:space="preserve"> Z uwagi, że w niniejszej sprawie liczba stron przekracza 20, zgodnie z art. 49 k.p.a. w związku z art. 74 ust. 3 „</w:t>
      </w:r>
      <w:proofErr w:type="spellStart"/>
      <w:r w:rsidR="00FC1673">
        <w:rPr>
          <w:rFonts w:cs="Times New Roman"/>
          <w:bCs/>
        </w:rPr>
        <w:t>Uooś</w:t>
      </w:r>
      <w:proofErr w:type="spellEnd"/>
      <w:r w:rsidR="00FC1673">
        <w:rPr>
          <w:rFonts w:cs="Times New Roman"/>
          <w:bCs/>
        </w:rPr>
        <w:t xml:space="preserve">” zawiadomienie o wszczęciu postępowania zostało podane stronom do wiadomości poprzez zamieszczenie na tablicy ogłoszeń Urzędu Gminy Załuski, tablicy ogłoszeń w miejscowości Zdunowo oraz stronie Biuletynu Informacji Publicznej Urzędu Gminy Załuski </w:t>
      </w:r>
      <w:hyperlink r:id="rId7" w:history="1">
        <w:r w:rsidR="00FC1673" w:rsidRPr="00381A92">
          <w:rPr>
            <w:rStyle w:val="Hipercze"/>
            <w:rFonts w:cs="Times New Roman"/>
            <w:bCs/>
          </w:rPr>
          <w:t>http://ugzaluski.bip.org.pl</w:t>
        </w:r>
      </w:hyperlink>
      <w:r w:rsidR="00FC1673">
        <w:rPr>
          <w:rFonts w:cs="Times New Roman"/>
          <w:bCs/>
        </w:rPr>
        <w:t>.</w:t>
      </w:r>
    </w:p>
    <w:p w:rsidR="00EB121F" w:rsidRDefault="00497696" w:rsidP="00EB121F">
      <w:pPr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Planowane przedsięwzięcie należy do kategorii przedsięwzięć określonych w art. 71 ust. 2 pkt 2 </w:t>
      </w:r>
      <w:proofErr w:type="spellStart"/>
      <w:r w:rsidRPr="00497696">
        <w:rPr>
          <w:rFonts w:cs="Times New Roman"/>
          <w:bCs/>
        </w:rPr>
        <w:t>Uooś</w:t>
      </w:r>
      <w:proofErr w:type="spellEnd"/>
      <w:r w:rsidRPr="00497696">
        <w:rPr>
          <w:rFonts w:cs="Times New Roman"/>
          <w:bCs/>
        </w:rPr>
        <w:t xml:space="preserve"> oraz wymienione zostało w </w:t>
      </w:r>
      <w:r w:rsidRPr="00497696">
        <w:rPr>
          <w:rFonts w:cs="Times New Roman"/>
        </w:rPr>
        <w:t>§ 3 ust. 1 pkt. 56 oraz § 3 ust. 1 pkt. 92</w:t>
      </w:r>
      <w:r w:rsidRPr="00497696">
        <w:rPr>
          <w:rFonts w:cs="Times New Roman"/>
          <w:bCs/>
        </w:rPr>
        <w:t xml:space="preserve"> rozporządzenia Rady Ministrów z dnia 9 listopada 2010 r. w sprawie przedsięwzięć mogących znacząco oddziaływać na środowisko (Dz. U. Nr 213, poz. 1397 ze zm.). Na podstawie art. 64 </w:t>
      </w:r>
      <w:proofErr w:type="spellStart"/>
      <w:r w:rsidRPr="00497696">
        <w:rPr>
          <w:rFonts w:cs="Times New Roman"/>
          <w:bCs/>
        </w:rPr>
        <w:t>Uooś</w:t>
      </w:r>
      <w:proofErr w:type="spellEnd"/>
      <w:r w:rsidRPr="00497696">
        <w:rPr>
          <w:rFonts w:cs="Times New Roman"/>
          <w:bCs/>
        </w:rPr>
        <w:t xml:space="preserve"> organ prowadzący postępowanie wystąpił do Regionalnego Dyrektora Ochrony Środowiska w Warszawie oraz Państwowego Powiatowego Inspektora Sanitarnego w Płońsku o wyrażenie opinii w przedmiocie przeprowadzenia oceny oddziaływania na środowisko planowanego przedsięwzięcia. Organy opiniujące opowiedziały się za brakiem konieczności przeprowadzenia oceny oddziaływania na środowisko dla wskazanego przedsięwzięcia (pismo z dnia 4 grudnia 2014 r. znak: ZNS-712-160/2014 Państwowego Powiatowego Inspektora Sanitarnego w Płońsku oraz Postanowienie z dnia 8 grudnia 2014 r. znak: WOOŚ-II.4240.1426.2014.IA Regionalnego Dyrektora Ochrony Środowiska w Warszawie).</w:t>
      </w:r>
      <w:r w:rsidR="00EB121F">
        <w:rPr>
          <w:rFonts w:cs="Times New Roman"/>
          <w:bCs/>
        </w:rPr>
        <w:tab/>
      </w:r>
    </w:p>
    <w:p w:rsidR="00497696" w:rsidRDefault="00497696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497696">
        <w:rPr>
          <w:rFonts w:cs="Times New Roman"/>
          <w:bCs/>
        </w:rPr>
        <w:t>Po przeprowadzeniu wnikliwej analizy dostarczonych wraz z wnioskiem materiałów, biorąc pod uwagę powyższe stanowiska, Wójt Gminy Załuski odstępuje od nałożenia na Inwestora obowiązku przeprowadzenia oceny oddziaływania na środowisko, argumentując to w odniesieniu do poszczególnych uwarunkowań w przedstawiony poniżej sposób:</w:t>
      </w:r>
    </w:p>
    <w:p w:rsidR="00690831" w:rsidRPr="00497696" w:rsidRDefault="00690831" w:rsidP="00497696">
      <w:pPr>
        <w:spacing w:line="360" w:lineRule="auto"/>
        <w:jc w:val="both"/>
        <w:rPr>
          <w:rFonts w:cs="Times New Roman"/>
          <w:bCs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b/>
          <w:bCs/>
        </w:rPr>
      </w:pPr>
      <w:r w:rsidRPr="00497696">
        <w:rPr>
          <w:rFonts w:cs="Times New Roman"/>
          <w:b/>
          <w:bCs/>
        </w:rPr>
        <w:t>1. Rodzaj i charakterystyka przedsięwzięcia z uwzględnieniem: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a) </w:t>
      </w:r>
      <w:r w:rsidRPr="00497696">
        <w:rPr>
          <w:rFonts w:cs="Times New Roman"/>
          <w:bCs/>
          <w:u w:val="single"/>
        </w:rPr>
        <w:t>skali przedsięwzięcia i wielkości zajmowanego terenu oraz ich wzajemnych proporcji: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Planowane przedsięwzięcie</w:t>
      </w:r>
      <w:r w:rsidR="006C572C">
        <w:rPr>
          <w:rFonts w:cs="Times New Roman"/>
          <w:bCs/>
        </w:rPr>
        <w:t xml:space="preserve"> polegać będzie na rozbudowie z przebudową </w:t>
      </w:r>
      <w:r w:rsidRPr="00497696">
        <w:rPr>
          <w:rFonts w:cs="Times New Roman"/>
          <w:bCs/>
        </w:rPr>
        <w:t xml:space="preserve">Zakładu Produkcyjnego Green </w:t>
      </w:r>
      <w:proofErr w:type="spellStart"/>
      <w:r w:rsidRPr="00497696">
        <w:rPr>
          <w:rFonts w:cs="Times New Roman"/>
          <w:bCs/>
        </w:rPr>
        <w:t>Factory</w:t>
      </w:r>
      <w:proofErr w:type="spellEnd"/>
      <w:r w:rsidRPr="00497696">
        <w:rPr>
          <w:rFonts w:cs="Times New Roman"/>
          <w:bCs/>
        </w:rPr>
        <w:t xml:space="preserve"> Artur Rytel Sp. z o.o., zlokalizowanego na działkach o nr Ew. 48/26 i 48/28 w Zdunowie, gmina Załuski. Inwestycja ma na celu dostosowanie infrastruktury obiektu do uruchomienia produkcji ciętych i pakowanych warzyw z udziałem sałat i innych warzyw liściastych. Powierzchnia działki o nr Ew. 48/26 wynosi 4,8215 ha (Br – </w:t>
      </w:r>
      <w:proofErr w:type="spellStart"/>
      <w:r w:rsidRPr="00497696">
        <w:rPr>
          <w:rFonts w:cs="Times New Roman"/>
          <w:bCs/>
        </w:rPr>
        <w:t>RIIIa</w:t>
      </w:r>
      <w:proofErr w:type="spellEnd"/>
      <w:r w:rsidRPr="00497696">
        <w:rPr>
          <w:rFonts w:cs="Times New Roman"/>
          <w:bCs/>
        </w:rPr>
        <w:t xml:space="preserve"> – 3,0244 ha, Br </w:t>
      </w:r>
      <w:proofErr w:type="spellStart"/>
      <w:r w:rsidRPr="00497696">
        <w:rPr>
          <w:rFonts w:cs="Times New Roman"/>
          <w:bCs/>
        </w:rPr>
        <w:t>RIIIb</w:t>
      </w:r>
      <w:proofErr w:type="spellEnd"/>
      <w:r w:rsidRPr="00497696">
        <w:rPr>
          <w:rFonts w:cs="Times New Roman"/>
          <w:bCs/>
        </w:rPr>
        <w:t xml:space="preserve"> – 0,0858 ha, </w:t>
      </w:r>
      <w:proofErr w:type="spellStart"/>
      <w:r w:rsidRPr="00497696">
        <w:rPr>
          <w:rFonts w:cs="Times New Roman"/>
          <w:bCs/>
        </w:rPr>
        <w:t>RIIIa</w:t>
      </w:r>
      <w:proofErr w:type="spellEnd"/>
      <w:r w:rsidRPr="00497696">
        <w:rPr>
          <w:rFonts w:cs="Times New Roman"/>
          <w:bCs/>
        </w:rPr>
        <w:t xml:space="preserve"> – 1,6329 ha i RIIIB – 0,0784 ha), a działki o nr Ew. 48/28 – 0,8719 ha (Br – RIII – 0,1430 ha, Br-</w:t>
      </w:r>
      <w:proofErr w:type="spellStart"/>
      <w:r w:rsidRPr="00497696">
        <w:rPr>
          <w:rFonts w:cs="Times New Roman"/>
          <w:bCs/>
        </w:rPr>
        <w:t>RIIIb</w:t>
      </w:r>
      <w:proofErr w:type="spellEnd"/>
      <w:r w:rsidRPr="00497696">
        <w:rPr>
          <w:rFonts w:cs="Times New Roman"/>
          <w:bCs/>
        </w:rPr>
        <w:t xml:space="preserve">- 0,3416 ha i </w:t>
      </w:r>
      <w:proofErr w:type="spellStart"/>
      <w:r w:rsidRPr="00497696">
        <w:rPr>
          <w:rFonts w:cs="Times New Roman"/>
          <w:bCs/>
        </w:rPr>
        <w:t>RIIIa</w:t>
      </w:r>
      <w:proofErr w:type="spellEnd"/>
      <w:r w:rsidRPr="00497696">
        <w:rPr>
          <w:rFonts w:cs="Times New Roman"/>
          <w:bCs/>
        </w:rPr>
        <w:t xml:space="preserve"> – 0,3873 ha).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Otoczenie terenu inwestycji stanowią: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od strony północnej i wschodniej – drogi,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lastRenderedPageBreak/>
        <w:t>- od strony południowej i zachodniej – użytki rolne,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od strony północno-zachodniej – zabudowa mieszkaniowa w odległości około 80 m od granicy zakładu.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Obecnie w zakładzie realizowane są zarówno procesy produkcji pakowanych sałat ciętych jak i przygotowanie płodów rolnych do sprzedaży – sortowanie i kalibracja, pakowanie, znakowanie oraz paletyzacja.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Z zawartych w przedłożonej dokumentacji informacji wynika, że w ciągu roku zakład sprzedaje około 2500 ton sałat ciętych pakowanych i mieszanek sałat z dodatkami oraz 11500 ton warzyw świeżych konfekcjonowanych do sprzedaży w sieciach handlowych.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Po zrealizowaniu inwestycji objętej przedmiotowym wnioskiem zakład zajmował się będzie wyłącznie produkcją świeżo ciętych i mytych sałat w opakowaniach jednostkowych. Planowana skala produkcji ww. produktów to 9000 ton w skali roku.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W projekcie technologicznym przyjęto uruchomienie 2 równoległych ciągów technologicznych do obróbki wstępnej – obierania, cięcia, mycia i osuszania warzyw oraz 6 ciągów technologicznych do ważenia i pakowania warzyw przygotowanych do pakowania na liniach myjących w procesie osuszania na wirówkach odśrodkowych. Ww. zamierzenie przyjęto do wykonania w 2 fazach realizacji inwestycji.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W pierwszej fazie realizowana będzie rozbudowa zakładu, której celem jest zwiększenie powierzchni przeznaczonej pod potrzeby produkcyjne i socjalno-bytowe planowanej do uruchomienia produkcji. W tym zakresie zakład zostanie rozbudowany o część, której przeznaczeniem będzie organizacja zaplecza socjalnego, szatnie, stołówki, węzły sanitarne oraz śluzy higieniczne prowadzące do części produkcyjnej.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Równolegle do rozbudowy części przeznaczonej na cele socjalno-bytowe będzie realizowana przebudowa części produkcyjnej, której celem będzie stworzenie spójnej infrastrukturalnie przestrzeni do instalacji ciągów technologicznych, składających się z urządzeń realizujących cele technologiczne w 2 odrębnych strefach sanitarnych produkcji.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Ponadto, w czasie przebudowy przewidziana zastałą instalacja kanałowego systemu usuwania odpadów, ułożenie posadzek przemysłowych, organizacja pomieszczeń do infrastruktury wspomagającej produkcję oraz instalacja cokołów odbojów, bram zewnętrznych i wewnętrznych oraz instalacji w tym elektrycznej, wodnej, kanalizacyjnej jak też instalacji wymaganych przez realizowaną technologię produkcji.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Po zakończeniu rozbudowy i przebudowy rozpocznie się realizacja drugiego etapu inwestycji, </w:t>
      </w:r>
      <w:r w:rsidRPr="00497696">
        <w:rPr>
          <w:rFonts w:cs="Times New Roman"/>
          <w:bCs/>
        </w:rPr>
        <w:lastRenderedPageBreak/>
        <w:t>polegającego na instalacji produkcyjnych ciągów technologicznych.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Cykl produkcji można podzielić na następujące główne etapy: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przyjęcie i oceny jakości surowca;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magazynowanie surowca i wydanie surowców i materiałów pomocniczych na produkcję;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cięcie i krojenie mechaniczne na krajalnicach przemysłowych;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mycie pociętych sałat w myjkach wodno-powietrznych z separatorem flotacyjnym zanieczyszczeń pływających;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osuszanie odśrodkowe na wirówkach odśrodkowych;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kontrola zanieczyszczeń na sortownikach optycznych;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ważenie na kombinacyjnych wagach wielogłowicowych;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pakowanie do opakowań jednostkowych z zastosowaniem MAP – wyłącznie dla produktów o dużej aktywności oksydazy polifenolowej (sałata lodowa i sałata rzymska lub produkty z ich udziałem);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kontrola produktów na detektorach metali;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kontrola zgodności masy produktu z deklaracją na wagach kontrolnych;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pakowanie do opakowań zbiorczych;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pakowanie do opakowań zbiorczych i paletyzacja;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badania organoleptyczne, fizykochemiczne i bakteriologiczne wyrobów gotowych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laboratorium.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W zakładzie w obszarze produkcyjnym i magazynowym zostaną wydzielone i odrębne 4 strefy i obszary o odmiennym przeznaczeniu: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1. Pomieszczenia magazynowe do chłodniczego przechowywania surowców do produkcji. W projekcie przewidziano 3 odrębne komory chłodnicze przeznaczone do przechowywania warzyw z przewagą warzyw liściastych. Dodatkowo w magazynie dostosowanym do składowania surowców typu baby </w:t>
      </w:r>
      <w:proofErr w:type="spellStart"/>
      <w:r w:rsidRPr="00497696">
        <w:rPr>
          <w:rFonts w:cs="Times New Roman"/>
          <w:bCs/>
        </w:rPr>
        <w:t>leaves</w:t>
      </w:r>
      <w:proofErr w:type="spellEnd"/>
      <w:r w:rsidRPr="00497696">
        <w:rPr>
          <w:rFonts w:cs="Times New Roman"/>
          <w:bCs/>
        </w:rPr>
        <w:t xml:space="preserve"> zostaną zainstalowane nawilżacze powietrza pozwalające na utrzymanie poziomu wilgotności powietrza na poziomie powyżej 95 %.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2. Pomieszczenie produkcyjne strefy niskiego ryzyka, w którym realizowane będą procesy obierania i sortowania, cięcia i mycia sałat.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3. Pomieszczenia produkcyjne strefy wysokiego ryzyka obejmujące maszyny i urządzenia służące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do realizacji procesów produkcyjnych, którym poddawane są warzywa już umyte w strefie niskiego ryzyka.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4. Pomieszczenie przeznaczone do pakowania zbiorczego z wydzieloną strefą komplementacji produktów.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lastRenderedPageBreak/>
        <w:t>Planowana rozbudowa zakładu i zmiana organizacji części produkcyjnej ma na celu zwiększenie potencjału produkcyjnego warzyw ciętych i pakowanych po przeniesieniu zainstalowanych obecnie maszyn i urządzeń służących do konfekcjonowania płodów rolnych do innego zakładu produkcyjnego.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  <w:bCs/>
        </w:rPr>
        <w:t xml:space="preserve">b) </w:t>
      </w:r>
      <w:r w:rsidRPr="00497696">
        <w:rPr>
          <w:rFonts w:cs="Times New Roman"/>
          <w:u w:val="single"/>
        </w:rPr>
        <w:t>powiązań z innymi przedsięwzięciami, w szczególności kumulowania się oddziaływań przedsięwzięć znajdujących się na obszarze, na który będzie oddziaływać przedsięwzięcie;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Z uwagi na charakter i skalę przedsięwzięcia nie przewiduje się kumulowania oddziaływań w stopniu powodującym wystąpienie znacznych uciążliwości dla otoczenia.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c) </w:t>
      </w:r>
      <w:r w:rsidRPr="00497696">
        <w:rPr>
          <w:rFonts w:cs="Times New Roman"/>
          <w:bCs/>
          <w:u w:val="single"/>
        </w:rPr>
        <w:t>wykorzystania zasobów naturalnych;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W związku z funkcjonowaniem przedsięwzięcia wykorzystana zostanie energia elektryczna. Z informacji zawartych w przedłożonej dokumentacji wynika, że zapotrzebowanie na wodę technologiczną i wodę do celów socjalno-bytowych przy dwóch zmianach produkcyjnych na dwóch ciągach technologicznych wynosić będzie 120 m</w:t>
      </w:r>
      <w:r w:rsidRPr="00497696">
        <w:rPr>
          <w:rFonts w:cs="Times New Roman"/>
          <w:bCs/>
          <w:vertAlign w:val="superscript"/>
        </w:rPr>
        <w:t>3</w:t>
      </w:r>
      <w:r w:rsidR="00B842FA">
        <w:rPr>
          <w:rFonts w:cs="Times New Roman"/>
          <w:bCs/>
        </w:rPr>
        <w:t xml:space="preserve"> (15 godzin produkcji x 2 linie technologiczne x 4m</w:t>
      </w:r>
      <w:r w:rsidR="00B842FA" w:rsidRPr="00B842FA">
        <w:rPr>
          <w:rFonts w:cs="Times New Roman"/>
          <w:bCs/>
          <w:vertAlign w:val="superscript"/>
        </w:rPr>
        <w:t>3</w:t>
      </w:r>
      <w:r w:rsidR="00B842FA">
        <w:rPr>
          <w:rFonts w:cs="Times New Roman"/>
          <w:bCs/>
        </w:rPr>
        <w:t>)</w:t>
      </w:r>
      <w:r w:rsidR="007A7AE3">
        <w:rPr>
          <w:rFonts w:cs="Times New Roman"/>
          <w:bCs/>
        </w:rPr>
        <w:t>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bCs/>
          <w:u w:val="single"/>
        </w:rPr>
        <w:t xml:space="preserve">d) </w:t>
      </w:r>
      <w:r w:rsidRPr="00497696">
        <w:rPr>
          <w:rFonts w:cs="Times New Roman"/>
          <w:u w:val="single"/>
        </w:rPr>
        <w:t>emisji i występowania innych uciążliwości;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</w:rPr>
        <w:t>Podczas prowadzenia prac budowlanych na terenie inwestycji będą występowały uciążliwości, które będą krótkotrwałe i rozłożone w czasie, odwracalne i niepozostawiające trwałych śladów w środowisku.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 xml:space="preserve">Na etapie eksploatacji inwestycji na klimat akustyczny terenów wokół zakładu wpływać będą zarówno źródła hałasu takie jaka: hałas związany z pracą instalacji do produkcji ciętych i pakowanych warzyw, jak również wentylatory, wyrzutnie, czerpnie powietrza i instalacja oczyszczalni. Jednak biorąc pod uwagę fakt, że dotychczas w zakładzie prowadzone były zarówno procesy produkcji pakowanych sałat ciętych, jak i przygotowanie płodów rolnych do sprzedaży – sortowanie i kalibracja, pakowanie, znakowanie oraz paletyzacja, a po realizacji inwestycji prowadzona będzie jedynie produkcja pakowanych, świeżo ciętych i mytych sałat w opakowaniach jednostkowych, nie będą to oddziaływania znaczące.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 xml:space="preserve">Powstanie nowego budynku w ramach rozbudowy zakładu nie zwiększy w istotny sposób emisji do powietrza w stosunku do obecnego stanu. W związku z rozbudową nie planuje się powstania nowych zorganizowanych źródeł emisji zanieczyszczeń do powietrza. Do źródeł emisji zanieczyszczeń do powietrza atmosferycznego w związku z funkcjonowaniem </w:t>
      </w:r>
      <w:r w:rsidRPr="00497696">
        <w:rPr>
          <w:rFonts w:cs="Times New Roman"/>
        </w:rPr>
        <w:lastRenderedPageBreak/>
        <w:t xml:space="preserve">planowanych budynków należeć będą zarówno emisje zorganizowane (kotłownia zakładowa, agregat prądotwórczy) oraz źródła emisji niezorganizowanej (pojazdy poruszające się po terenie zakładu). Sam proces technologiczny związany z przygotowaniem, magazynowaniem i konfekcjonowaniem warzyw nie będzie stanowił źródeł emisji zanieczyszczeń.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Ścieki bytowe i ścieki powstające podczas mycia warzyw z zakładu będą odprowadzane do zakładowej mechaniczno-biologicznej oczyszczalni ścieków. W związku z realizacją inwestycji nie przewiduje się zwiększenia ilości odprowadzanych ścieków.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Wody opadowo – roztopowe z terenów utwardzonych na terenie przedmiotowej inwestycji będą podczyszczane w separatorze substancji ropopochodnych i będą odprowadzane</w:t>
      </w:r>
      <w:r w:rsidR="0012405C">
        <w:rPr>
          <w:rFonts w:cs="Times New Roman"/>
        </w:rPr>
        <w:t xml:space="preserve"> rurociągiem</w:t>
      </w:r>
      <w:r w:rsidR="00D7791A">
        <w:rPr>
          <w:rFonts w:cs="Times New Roman"/>
        </w:rPr>
        <w:t xml:space="preserve"> do rowu melioracyjnego, zgodnie z zapisami pozwolenia wodnoprawnego wydanego przez Starostę Płońskiego (z dnia 21.02.2011 r., znak RŚ.6341.2.201). Pozwolenie to obowiązuje do 2021 roku i pozwala na odprowadzanie oczyszczonych ścieków do rowu melioracyjnego.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Funkcjonowanie przedsięwzięcia będzie się również wiązać z powstaniem odpadów, które będą gromadzone selektywnie i przekazywane wyspecjalizowanym podmiotom do odzysku lub unieszkodliwienia.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e) ryzyka wystąpienia poważnej awarii, przy uwzględnieniu używanych substancji i stosowanych technologii;</w:t>
      </w:r>
    </w:p>
    <w:p w:rsid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 karty informacyjnej przedsięwzięcia wynika, że w związku z realizacją inwestycji nie występuje ryzyko powstania poważnej awarii.</w:t>
      </w:r>
    </w:p>
    <w:p w:rsidR="00690831" w:rsidRPr="00497696" w:rsidRDefault="00690831" w:rsidP="00497696">
      <w:pPr>
        <w:spacing w:line="360" w:lineRule="auto"/>
        <w:jc w:val="both"/>
        <w:rPr>
          <w:rFonts w:cs="Times New Roman"/>
        </w:rPr>
      </w:pPr>
    </w:p>
    <w:p w:rsidR="00497696" w:rsidRDefault="00497696" w:rsidP="00497696">
      <w:pPr>
        <w:spacing w:line="360" w:lineRule="auto"/>
        <w:jc w:val="both"/>
        <w:rPr>
          <w:rFonts w:cs="Times New Roman"/>
          <w:b/>
        </w:rPr>
      </w:pPr>
      <w:r w:rsidRPr="00497696">
        <w:rPr>
          <w:rFonts w:cs="Times New Roman"/>
          <w:b/>
        </w:rPr>
        <w:t>2. Usytuowanie przedsięwzięcia, z uwzględnieniem możliwego zagrożenia dla środowiska, w szczególności przy istniejącym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D74131" w:rsidRPr="00497696" w:rsidRDefault="00D74131" w:rsidP="00497696">
      <w:pPr>
        <w:spacing w:line="360" w:lineRule="auto"/>
        <w:jc w:val="both"/>
        <w:rPr>
          <w:rFonts w:cs="Times New Roman"/>
          <w:b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a)  obszary wodno-błotne oraz inne obszary o płytkim zaleganiu wód podziemnych: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 przedstawionej dokumentacji nie wynika, aby w miejscu realizacji inwestycji oraz jej pobliżu występowały obszary wodno-błotne oraz inne obszary o płytkim zaleganiu wód podziemnych.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b)  obszary wybrzeży: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Przedmiotowe przedsięwzięcie leży poza obszarami wybrzeży.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c)  obszary górskie lub leśne: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Przedmiotowe przedsięwzięcie leży poza obszarami górskimi i leśnymi.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d)  obszary objęte ochroną, w tym strefy ochronne ujęć wód i obszary ochronne zbiorników wód śródlądowych: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 przedmiotowej dokumentacji nie wynika, aby w miejscu realizacji inwestycji oraz w jej pobliżu występowały obszary objęte ochroną, w tym strefy ochronne ujęć wód i obszary ochronne zbiorników wód śródlądowych.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e)  obszary wymagające specjalnej ochrony ze względu na występowanie gatunków roślin i zwierząt lub ich siedlisk lub siedlisk przyrodniczych objętych ochroną, w tym obszary Natura 2000 oraz pozostałe formy ochrony przyrody: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Teren pod przedmiotową inwestycję, położony jest poza obszarami objętymi ochroną na podstawie ustawy z dnia 16 kwietnia 2004 r. o ochronie przyrody (Dz. U. z 2013 r. poz. 627 ze zm.).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 xml:space="preserve">Najbliżej położony obszar Natura 2000, obszar specjalnej ochrony siedlisk Forty Modlińskie PLH140020, znajduje się w odległości około 5 km w kierunku południowo-wschodnim od planowanej inwestycji.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f)  obszary, na których standardy jakości środowiska zostały przekroczone: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 przedstawionej dokumentacji nie wynika, aby w miejscu realizacji inwestycji oraz w jej pobliżu występowały obszary, na których standardy jakości środowiska zostały przekroczone.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g)  obszary o krajobrazie mającym znaczenie historyczne, kulturowe lub archeologiczne: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 informacji zawartych w karcie informacji przedsięwzięcia wynika, że w miejscu realizacji inwestycji nie występują obszary w krajobrazie mającym znaczenie historyczne, kulturowe lub archeologiczne.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h)  gęstość zaludnienia: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Gęstość zaludnienia gminy Załuski wynosi 53 os/km</w:t>
      </w:r>
      <w:r w:rsidRPr="00497696">
        <w:rPr>
          <w:rFonts w:cs="Times New Roman"/>
          <w:vertAlign w:val="superscript"/>
        </w:rPr>
        <w:t>2</w:t>
      </w:r>
      <w:r w:rsidR="00EC5888">
        <w:rPr>
          <w:rFonts w:cs="Times New Roman"/>
        </w:rPr>
        <w:t xml:space="preserve"> (wg danych GUS z 2014 r.)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i)  obszary przylegające do jezior:</w:t>
      </w:r>
    </w:p>
    <w:p w:rsidR="00497696" w:rsidRDefault="00497696" w:rsidP="00497696">
      <w:pPr>
        <w:spacing w:line="360" w:lineRule="auto"/>
        <w:rPr>
          <w:rFonts w:cs="Times New Roman"/>
        </w:rPr>
      </w:pPr>
      <w:r w:rsidRPr="00497696">
        <w:rPr>
          <w:rFonts w:cs="Times New Roman"/>
        </w:rPr>
        <w:t>W rejonie inwestycji nie występują jeziora.</w:t>
      </w:r>
    </w:p>
    <w:p w:rsidR="00D74131" w:rsidRPr="00497696" w:rsidRDefault="00D74131" w:rsidP="00497696">
      <w:pPr>
        <w:spacing w:line="360" w:lineRule="auto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j)  uzdrowiska i obszary ochrony uzdrowiskowej: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W rejonie realizacji przedsięwzięcia brak jest uzdrowisk i obszarów ochrony uzdrowiskowej.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b/>
        </w:rPr>
      </w:pPr>
      <w:r w:rsidRPr="00497696">
        <w:rPr>
          <w:rFonts w:cs="Times New Roman"/>
          <w:b/>
        </w:rPr>
        <w:t>3)   Rodzaj i skalę możliwego oddziaływania rozważanego w odniesieniu do uwarunkowań wymienionych w pkt 1 i 2, wynikające z: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a)  zasięgu oddziaływania - obszaru geograficznego i liczby ludności, na którą przedsięwzięcie może oddziaływać:</w:t>
      </w:r>
    </w:p>
    <w:p w:rsidR="00497696" w:rsidRPr="00497696" w:rsidRDefault="00497696" w:rsidP="00497696">
      <w:pPr>
        <w:spacing w:line="360" w:lineRule="auto"/>
        <w:rPr>
          <w:rFonts w:cs="Times New Roman"/>
        </w:rPr>
      </w:pPr>
      <w:r w:rsidRPr="00497696">
        <w:rPr>
          <w:rFonts w:cs="Times New Roman"/>
        </w:rPr>
        <w:t>Zasięg przestrzenny oddziaływania przedsięwzięcia ograniczy się do najbliższego otoczenia miejsca jego realizacji.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b)  transgranicznego charakteru oddziaływania przedsięwzięcia na poszczególne elementy przyrodnicze: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Ze względu na rodzaj planowanej inwestycji oraz je</w:t>
      </w:r>
      <w:r w:rsidR="00D74131">
        <w:rPr>
          <w:rFonts w:cs="Times New Roman"/>
        </w:rPr>
        <w:t>j lokalizację nie wystąpi trans</w:t>
      </w:r>
      <w:r w:rsidRPr="00497696">
        <w:rPr>
          <w:rFonts w:cs="Times New Roman"/>
        </w:rPr>
        <w:t>graniczne oddziaływanie na środowisko.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c)  wielkości i złożoności oddziaływania, z uwzględnieniem obciążenia istniejącej infrastruktury technicznej: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Ze względu na rodzaj, skalę i lokalizację inwestycji, jak również niewielkie obciążenia istniejącej infrastruktury technicznej, przedsięwzięcie nie będzie znacząco oddziaływać na środowisko.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d)  prawdopodobieństwa oddziaływania: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Informacje zawarte w przedłożonych dokumentach potwierdzają wystąpienie nieznacznych oddziaływań na etapie eksploatacji przedsięwzięcia. Inwestycja będzie realizowana z zachowaniem wszelkich wymogów ochrony środowiska oraz z zachowaniem czystości i porządku na terenie nieruchomości.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</w:p>
    <w:p w:rsidR="00497696" w:rsidRPr="00497696" w:rsidRDefault="00497696" w:rsidP="00497696">
      <w:pPr>
        <w:spacing w:line="360" w:lineRule="auto"/>
        <w:jc w:val="both"/>
        <w:rPr>
          <w:rFonts w:cs="Times New Roman"/>
          <w:u w:val="single"/>
        </w:rPr>
      </w:pPr>
      <w:r w:rsidRPr="00497696">
        <w:rPr>
          <w:rFonts w:cs="Times New Roman"/>
          <w:u w:val="single"/>
        </w:rPr>
        <w:t>e)  czasu trwania, częstotliwości i odwracalności oddziaływania: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 xml:space="preserve">Oddziaływanie powstałe na etapie realizacji przedsięwzięcia będą  krótkotrwałe i ustąpią po zakończeniu prac rozbiórkowych i budowlanych. Zastosowane rozwiązania techniczne i organizacyjne zminimalizują  oddziaływanie na środowisko na etapie eksploatacji. </w:t>
      </w:r>
    </w:p>
    <w:p w:rsidR="000A5358" w:rsidRDefault="000A5358" w:rsidP="00497696">
      <w:pPr>
        <w:spacing w:line="360" w:lineRule="auto"/>
        <w:jc w:val="both"/>
        <w:rPr>
          <w:rFonts w:cs="Times New Roman"/>
        </w:rPr>
      </w:pPr>
    </w:p>
    <w:p w:rsidR="0070533F" w:rsidRDefault="0070533F" w:rsidP="00572B1E">
      <w:pPr>
        <w:spacing w:line="360" w:lineRule="auto"/>
        <w:ind w:firstLine="708"/>
        <w:jc w:val="both"/>
        <w:rPr>
          <w:rFonts w:cs="Times New Roman"/>
        </w:rPr>
      </w:pPr>
    </w:p>
    <w:p w:rsidR="00497696" w:rsidRDefault="00497696" w:rsidP="00572B1E">
      <w:pPr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</w:rPr>
        <w:lastRenderedPageBreak/>
        <w:t>Zgodnie z art. 63 „</w:t>
      </w:r>
      <w:proofErr w:type="spellStart"/>
      <w:r w:rsidRPr="00497696">
        <w:rPr>
          <w:rFonts w:cs="Times New Roman"/>
        </w:rPr>
        <w:t>Uooś</w:t>
      </w:r>
      <w:proofErr w:type="spellEnd"/>
      <w:r w:rsidRPr="00497696">
        <w:rPr>
          <w:rFonts w:cs="Times New Roman"/>
        </w:rPr>
        <w:t>” obowiązek przeprowadzenia oceny oddziaływania przedsięwzięcia na środowisko dla planowanego przedsięwzięcia mogącego potencjalnie znacząco oddziaływać na środowisko stwierdza w drodze postanowienia, organ właściwy do wydania decyzji o środowiskowych uwarunkowaniach.</w:t>
      </w:r>
      <w:r w:rsidR="000A5358">
        <w:rPr>
          <w:rFonts w:cs="Times New Roman"/>
        </w:rPr>
        <w:t xml:space="preserve"> W dniu 18.12.2014 r. zostało wydane postanowienie o braku potrzeby przeprowadzenie oceny oddziaływania na środowisko dla przedsięwzięcia polegającego na przebudowie </w:t>
      </w:r>
      <w:r w:rsidR="000A5358" w:rsidRPr="00064DBF">
        <w:rPr>
          <w:rFonts w:cs="Times New Roman"/>
          <w:bCs/>
        </w:rPr>
        <w:t xml:space="preserve">z rozbudową zakładu przetwórstwa warzyw Green </w:t>
      </w:r>
      <w:proofErr w:type="spellStart"/>
      <w:r w:rsidR="000A5358" w:rsidRPr="00064DBF">
        <w:rPr>
          <w:rFonts w:cs="Times New Roman"/>
          <w:bCs/>
        </w:rPr>
        <w:t>Factory</w:t>
      </w:r>
      <w:proofErr w:type="spellEnd"/>
      <w:r w:rsidR="000A5358" w:rsidRPr="00064DBF">
        <w:rPr>
          <w:rFonts w:cs="Times New Roman"/>
          <w:bCs/>
        </w:rPr>
        <w:t xml:space="preserve"> Artur Rytel Sp. z o.o. na działkach o nr ew. 48/26 i 48/28 w miejscowości Zdunowo, gmina Załuski.</w:t>
      </w:r>
      <w:r w:rsidR="00FD48FF">
        <w:rPr>
          <w:rFonts w:cs="Times New Roman"/>
          <w:bCs/>
        </w:rPr>
        <w:t xml:space="preserve"> Strony postępowania zostały zawiadomione o wydanym postępowaniu poprzez zamieszczenie na tablicy ogłoszeń Urzędu Gminy Załuski, tablicy  ogłoszeń w miejscowości Zdunowo oraz na stronie Biuletynu Informacji Publicznej Urzędu Gminy Załuski </w:t>
      </w:r>
      <w:hyperlink r:id="rId8" w:history="1">
        <w:r w:rsidR="00FD48FF" w:rsidRPr="00381A92">
          <w:rPr>
            <w:rStyle w:val="Hipercze"/>
            <w:rFonts w:cs="Times New Roman"/>
            <w:bCs/>
          </w:rPr>
          <w:t>http://ugzaluski.bip.org.pl</w:t>
        </w:r>
      </w:hyperlink>
      <w:r w:rsidR="00FD48FF">
        <w:rPr>
          <w:rFonts w:cs="Times New Roman"/>
          <w:bCs/>
        </w:rPr>
        <w:t>.</w:t>
      </w:r>
    </w:p>
    <w:p w:rsidR="00FD48FF" w:rsidRPr="00D13C9A" w:rsidRDefault="00732D60" w:rsidP="00D13C9A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W dniu 19.01.2015 r. strony postępowania zostały zawiadomione poprzez obwieszczenie o zakończeniu postępowania i poinformowane o przysługującym im prawie do zapoznania się i wypowiadania się, co do materiałów i dowodów zgromadzonych w sprawie. Przedmiotowe obwieszczenie zostało podane do publicznej wi</w:t>
      </w:r>
      <w:r w:rsidR="00572B1E">
        <w:rPr>
          <w:rFonts w:cs="Times New Roman"/>
          <w:bCs/>
        </w:rPr>
        <w:t>adomości poprzez wywieszenie na</w:t>
      </w:r>
      <w:r>
        <w:rPr>
          <w:rFonts w:cs="Times New Roman"/>
          <w:bCs/>
        </w:rPr>
        <w:t xml:space="preserve"> tablicy ogłoszeń Urzędu Gminy Załuski, tablicy  ogłoszeń w miejscowości Zdunowo oraz na stronie Biuletynu Informacji Publicznej Urzędu Gminy Załuski </w:t>
      </w:r>
      <w:hyperlink r:id="rId9" w:history="1">
        <w:r w:rsidRPr="00381A92">
          <w:rPr>
            <w:rStyle w:val="Hipercze"/>
            <w:rFonts w:cs="Times New Roman"/>
            <w:bCs/>
          </w:rPr>
          <w:t>http://ugzaluski.bip.org.pl</w:t>
        </w:r>
      </w:hyperlink>
      <w:r>
        <w:rPr>
          <w:rFonts w:cs="Times New Roman"/>
          <w:bCs/>
        </w:rPr>
        <w:t xml:space="preserve">. W wyznaczonym terminie żadna ze stron nie skorzystała z przysługującego jej prawa.  </w:t>
      </w:r>
    </w:p>
    <w:p w:rsidR="00D13C9A" w:rsidRDefault="00D13C9A" w:rsidP="00D13C9A">
      <w:pPr>
        <w:pStyle w:val="Standard"/>
        <w:spacing w:line="360" w:lineRule="auto"/>
        <w:ind w:firstLine="708"/>
        <w:jc w:val="both"/>
      </w:pPr>
      <w:r>
        <w:t>Po przeanalizowaniu przedłożonych dokumentów, obowiązujących aktów prawa wspólnotowych i polskiego, a także po przeprowadzeniu szczegółowej analizy uwarunkowań, związanych z kwalifikowaniem przedsięwzięcia mogącego potencjalnie znacząco oddziaływać na środowisko stwierdzono, że w przedstawionym stanie prawnym i faktycznym nie ma konieczności przeprowadzenia oceny oddziaływania przedsięwzięcia na środowiska w ramach której sporządzony zostałby raport o oddziaływaniu przedsięwzięcia na środowisko.</w:t>
      </w:r>
    </w:p>
    <w:p w:rsidR="00D13C9A" w:rsidRDefault="00D13C9A" w:rsidP="00D13C9A">
      <w:pPr>
        <w:pStyle w:val="Standard"/>
        <w:spacing w:line="360" w:lineRule="auto"/>
        <w:jc w:val="both"/>
      </w:pPr>
    </w:p>
    <w:p w:rsidR="00D13C9A" w:rsidRPr="00497696" w:rsidRDefault="00D13C9A" w:rsidP="00D13C9A">
      <w:pPr>
        <w:spacing w:line="360" w:lineRule="auto"/>
        <w:jc w:val="both"/>
        <w:rPr>
          <w:rFonts w:cs="Times New Roman"/>
        </w:rPr>
      </w:pPr>
      <w:r>
        <w:tab/>
        <w:t xml:space="preserve">Mając na uwadze powyższe orzeczono jak w sentencji.                   </w:t>
      </w:r>
      <w:r>
        <w:rPr>
          <w:sz w:val="22"/>
          <w:szCs w:val="22"/>
        </w:rPr>
        <w:t xml:space="preserve">     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</w:rPr>
      </w:pPr>
    </w:p>
    <w:p w:rsidR="00690831" w:rsidRPr="00292897" w:rsidRDefault="00690831" w:rsidP="00690831">
      <w:pPr>
        <w:pStyle w:val="TableContents"/>
        <w:spacing w:line="360" w:lineRule="auto"/>
        <w:jc w:val="center"/>
        <w:rPr>
          <w:b/>
        </w:rPr>
      </w:pPr>
      <w:r w:rsidRPr="00292897">
        <w:rPr>
          <w:b/>
        </w:rPr>
        <w:t>POUCZENIE</w:t>
      </w:r>
    </w:p>
    <w:p w:rsidR="00690831" w:rsidRDefault="00690831" w:rsidP="00690831">
      <w:pPr>
        <w:pStyle w:val="TableContents"/>
        <w:spacing w:line="360" w:lineRule="auto"/>
        <w:jc w:val="both"/>
      </w:pPr>
      <w:r>
        <w:br/>
        <w:t>1. Od decyzji służy odwołanie do Samorządowego Kolegium Odwoławczego w Ciechanowie za pośrednictwem Wójta Gminy Załuski, w terminie 14 dni od daty doręczenia niniejszej decyzji.</w:t>
      </w:r>
    </w:p>
    <w:p w:rsidR="00690831" w:rsidRDefault="00690831" w:rsidP="00690831">
      <w:pPr>
        <w:pStyle w:val="TableContents"/>
        <w:spacing w:line="360" w:lineRule="auto"/>
        <w:jc w:val="both"/>
      </w:pPr>
      <w:r>
        <w:br/>
        <w:t>2. Decyzję o środowiskowych uwarunkowaniach dołącza się do wniosku o wydanie decyzji o</w:t>
      </w:r>
      <w:r w:rsidR="00056464" w:rsidRPr="00056464">
        <w:t xml:space="preserve"> </w:t>
      </w:r>
      <w:r w:rsidR="00056464">
        <w:lastRenderedPageBreak/>
        <w:t xml:space="preserve">zatwierdzeniu projektu budowlanego oraz pozwoleniu na budowę. </w:t>
      </w:r>
      <w:r>
        <w:t>Złożenie wniosku powinno nastąpić w terminie 4 lat od dnia, w którym decyzja o środowiskowych uwarunkowaniach stała się ostateczna.</w:t>
      </w:r>
    </w:p>
    <w:p w:rsidR="00690831" w:rsidRDefault="00690831" w:rsidP="00690831">
      <w:pPr>
        <w:pStyle w:val="TableContents"/>
        <w:spacing w:line="360" w:lineRule="auto"/>
        <w:jc w:val="both"/>
      </w:pPr>
    </w:p>
    <w:p w:rsidR="003F05BF" w:rsidRPr="006A7AC0" w:rsidRDefault="003F05BF" w:rsidP="006A7AC0">
      <w:pPr>
        <w:pStyle w:val="TableContents"/>
        <w:spacing w:line="360" w:lineRule="auto"/>
        <w:jc w:val="both"/>
      </w:pPr>
      <w:r>
        <w:rPr>
          <w:b/>
          <w:bCs/>
          <w:color w:val="000000"/>
          <w:u w:val="single"/>
        </w:rPr>
        <w:t>Załączniki:</w:t>
      </w:r>
    </w:p>
    <w:p w:rsidR="003F05BF" w:rsidRDefault="003F05BF" w:rsidP="003F05BF">
      <w:pPr>
        <w:pStyle w:val="TableContents"/>
        <w:spacing w:after="283" w:line="100" w:lineRule="atLeast"/>
        <w:rPr>
          <w:color w:val="000000"/>
        </w:rPr>
      </w:pPr>
      <w:r>
        <w:rPr>
          <w:color w:val="000000"/>
        </w:rPr>
        <w:t>1. Charakterystyka przedsięwzięcia</w:t>
      </w:r>
    </w:p>
    <w:p w:rsidR="003F05BF" w:rsidRDefault="003F05BF" w:rsidP="003F05BF">
      <w:pPr>
        <w:pStyle w:val="TableContents"/>
        <w:spacing w:after="283" w:line="360" w:lineRule="auto"/>
      </w:pPr>
      <w:r>
        <w:rPr>
          <w:color w:val="000000"/>
        </w:rPr>
        <w:br/>
      </w:r>
      <w:r>
        <w:rPr>
          <w:b/>
          <w:bCs/>
          <w:color w:val="000000"/>
          <w:u w:val="single"/>
        </w:rPr>
        <w:t>Otrzymują:</w:t>
      </w:r>
      <w:r>
        <w:rPr>
          <w:color w:val="000000"/>
        </w:rPr>
        <w:br/>
        <w:t xml:space="preserve">1. Wnioskodawca                       </w:t>
      </w:r>
      <w:r w:rsidR="008A4A42">
        <w:rPr>
          <w:color w:val="000000"/>
        </w:rPr>
        <w:t xml:space="preserve">                            </w:t>
      </w:r>
      <w:r w:rsidR="008A4A42">
        <w:rPr>
          <w:color w:val="000000"/>
        </w:rPr>
        <w:br/>
        <w:t>2</w:t>
      </w:r>
      <w:r>
        <w:rPr>
          <w:color w:val="000000"/>
        </w:rPr>
        <w:t xml:space="preserve">. a/a  </w:t>
      </w:r>
    </w:p>
    <w:p w:rsidR="003F05BF" w:rsidRDefault="003F05BF" w:rsidP="003F05BF">
      <w:pPr>
        <w:pStyle w:val="TableContents"/>
        <w:spacing w:after="283" w:line="360" w:lineRule="auto"/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Do wiadomości:</w:t>
      </w:r>
      <w:r>
        <w:rPr>
          <w:b/>
          <w:bCs/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br/>
        <w:t xml:space="preserve">1. Regionalna Dyrekcja Ochrony Środowiska w Warszawie                                                            </w:t>
      </w:r>
      <w:r>
        <w:rPr>
          <w:color w:val="000000"/>
        </w:rPr>
        <w:br/>
        <w:t>2. Państwowy Powiatowy Inspektor Sanitarny w Płońsku</w:t>
      </w:r>
    </w:p>
    <w:p w:rsidR="003F05BF" w:rsidRDefault="003F05BF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6A7AC0" w:rsidRDefault="006A7AC0" w:rsidP="003F05BF">
      <w:pPr>
        <w:pStyle w:val="TableContents"/>
        <w:jc w:val="right"/>
      </w:pPr>
    </w:p>
    <w:p w:rsidR="006A7AC0" w:rsidRDefault="006A7AC0" w:rsidP="003F05BF">
      <w:pPr>
        <w:pStyle w:val="TableContents"/>
        <w:jc w:val="right"/>
      </w:pPr>
    </w:p>
    <w:p w:rsidR="00B12902" w:rsidRDefault="00B12902" w:rsidP="00B12902">
      <w:pPr>
        <w:pStyle w:val="TableContents"/>
      </w:pPr>
      <w:bookmarkStart w:id="0" w:name="_GoBack"/>
      <w:bookmarkEnd w:id="0"/>
    </w:p>
    <w:p w:rsidR="003F05BF" w:rsidRDefault="003F05BF" w:rsidP="003F05BF">
      <w:pPr>
        <w:pStyle w:val="TableContents"/>
        <w:jc w:val="right"/>
      </w:pP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decyzji</w:t>
      </w:r>
      <w:r>
        <w:rPr>
          <w:sz w:val="22"/>
          <w:szCs w:val="22"/>
        </w:rPr>
        <w:br/>
        <w:t>znak: Nr 6220.4.2015</w:t>
      </w:r>
    </w:p>
    <w:p w:rsidR="003F05BF" w:rsidRDefault="003F05BF" w:rsidP="003F05BF">
      <w:pPr>
        <w:pStyle w:val="TableContents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z dnia</w:t>
      </w:r>
      <w:r w:rsidR="0048131E">
        <w:rPr>
          <w:sz w:val="22"/>
          <w:szCs w:val="22"/>
        </w:rPr>
        <w:t xml:space="preserve"> </w:t>
      </w:r>
      <w:r w:rsidR="00EC5888">
        <w:rPr>
          <w:sz w:val="22"/>
          <w:szCs w:val="22"/>
        </w:rPr>
        <w:t>03.02</w:t>
      </w:r>
      <w:r>
        <w:rPr>
          <w:sz w:val="22"/>
          <w:szCs w:val="22"/>
        </w:rPr>
        <w:t>.2015 r.</w:t>
      </w:r>
    </w:p>
    <w:p w:rsidR="003F05BF" w:rsidRDefault="003F05BF" w:rsidP="003F05BF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05BF" w:rsidRDefault="003F05BF" w:rsidP="003F05BF">
      <w:pPr>
        <w:pStyle w:val="TableContents"/>
        <w:spacing w:line="360" w:lineRule="auto"/>
        <w:jc w:val="center"/>
      </w:pPr>
      <w:r w:rsidRPr="007D13F0">
        <w:rPr>
          <w:b/>
          <w:color w:val="000000" w:themeColor="text1"/>
        </w:rPr>
        <w:t>CHARAKTERYSTYKA PRZEDSIĘWZIĘCIA</w:t>
      </w:r>
      <w:r>
        <w:rPr>
          <w:b/>
        </w:rPr>
        <w:br/>
      </w:r>
      <w:r>
        <w:rPr>
          <w:b/>
        </w:rPr>
        <w:br/>
      </w:r>
      <w:r w:rsidR="009C2B1B">
        <w:rPr>
          <w:rFonts w:cs="Times New Roman"/>
          <w:b/>
          <w:bCs/>
        </w:rPr>
        <w:t xml:space="preserve">polegającego na </w:t>
      </w:r>
      <w:r w:rsidRPr="00497696">
        <w:rPr>
          <w:rFonts w:cs="Times New Roman"/>
          <w:b/>
          <w:bCs/>
        </w:rPr>
        <w:t xml:space="preserve">przebudowie z rozbudową zakładu przetwórstwa warzyw Green </w:t>
      </w:r>
      <w:proofErr w:type="spellStart"/>
      <w:r w:rsidRPr="00497696">
        <w:rPr>
          <w:rFonts w:cs="Times New Roman"/>
          <w:b/>
          <w:bCs/>
        </w:rPr>
        <w:t>Factory</w:t>
      </w:r>
      <w:proofErr w:type="spellEnd"/>
      <w:r w:rsidRPr="00497696">
        <w:rPr>
          <w:rFonts w:cs="Times New Roman"/>
          <w:b/>
          <w:bCs/>
        </w:rPr>
        <w:t xml:space="preserve"> Artur Rytel Sp. z o.o. na działkach o nr ew. 48/26 i 48/28 w miejscowości Zdunowo, gmina Załuski.</w:t>
      </w:r>
    </w:p>
    <w:p w:rsidR="003F05BF" w:rsidRDefault="003F05BF" w:rsidP="003F05BF">
      <w:pPr>
        <w:pStyle w:val="Standard"/>
        <w:spacing w:line="360" w:lineRule="auto"/>
        <w:jc w:val="both"/>
      </w:pPr>
    </w:p>
    <w:p w:rsidR="00F3683E" w:rsidRDefault="00F3683E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Planowane przedsięwzięcie polegać będzie na rozbudowie i modernizacji Zakładu Produkcyjnego Green </w:t>
      </w:r>
      <w:proofErr w:type="spellStart"/>
      <w:r w:rsidRPr="00497696">
        <w:rPr>
          <w:rFonts w:cs="Times New Roman"/>
          <w:bCs/>
        </w:rPr>
        <w:t>Factory</w:t>
      </w:r>
      <w:proofErr w:type="spellEnd"/>
      <w:r w:rsidRPr="00497696">
        <w:rPr>
          <w:rFonts w:cs="Times New Roman"/>
          <w:bCs/>
        </w:rPr>
        <w:t xml:space="preserve"> Artur Rytel Sp. z o.o., zlokalizowanego na działkach o nr Ew. 48/26 i 48/28 w Zdunowie, gmina Załuski. Inwestycja ma na celu dostosowanie infrastruktury obiektu do uruchomienia produkcji ciętych i pakowanych warzyw z udziałem sałat i innych warzyw liściastych.</w:t>
      </w:r>
    </w:p>
    <w:p w:rsidR="00C8379C" w:rsidRPr="00497696" w:rsidRDefault="00C8379C" w:rsidP="00C8379C">
      <w:pPr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W projekcie technologicznym</w:t>
      </w:r>
      <w:r>
        <w:rPr>
          <w:rFonts w:cs="Times New Roman"/>
          <w:bCs/>
        </w:rPr>
        <w:t xml:space="preserve"> inwestycji przewidziano </w:t>
      </w:r>
      <w:r w:rsidRPr="00497696">
        <w:rPr>
          <w:rFonts w:cs="Times New Roman"/>
          <w:bCs/>
        </w:rPr>
        <w:t xml:space="preserve">uruchomienie 2 równoległych ciągów technologicznych do obróbki wstępnej warzyw oraz 6 ciągów technologicznych do ważenia i pakowania warzyw przygotowanych do pakowania na liniach myjących w procesie osuszania na wirówkach odśrodkowych. Ww. zamierzenie przyjęto do wykonania w 2 fazach realizacji inwestycji. </w:t>
      </w:r>
    </w:p>
    <w:p w:rsidR="00B923E0" w:rsidRDefault="007B70B9" w:rsidP="00B12902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Podczas realizacji pierwszej fazy planowana jest </w:t>
      </w:r>
      <w:r w:rsidRPr="00497696">
        <w:rPr>
          <w:rFonts w:cs="Times New Roman"/>
          <w:bCs/>
        </w:rPr>
        <w:t>rozbudowa zakładu</w:t>
      </w:r>
      <w:r>
        <w:rPr>
          <w:rFonts w:cs="Times New Roman"/>
          <w:bCs/>
        </w:rPr>
        <w:t>, celem zwiększenia</w:t>
      </w:r>
      <w:r w:rsidRPr="00497696">
        <w:rPr>
          <w:rFonts w:cs="Times New Roman"/>
          <w:bCs/>
        </w:rPr>
        <w:t xml:space="preserve"> powierzchni </w:t>
      </w:r>
      <w:r>
        <w:rPr>
          <w:rFonts w:cs="Times New Roman"/>
          <w:bCs/>
        </w:rPr>
        <w:t>produkcyjnych i socjalno-bytowych</w:t>
      </w:r>
      <w:r w:rsidRPr="00497696">
        <w:rPr>
          <w:rFonts w:cs="Times New Roman"/>
          <w:bCs/>
        </w:rPr>
        <w:t xml:space="preserve"> planowanej do uruchomienia produkcji.</w:t>
      </w:r>
      <w:r>
        <w:rPr>
          <w:rFonts w:cs="Times New Roman"/>
          <w:bCs/>
        </w:rPr>
        <w:t xml:space="preserve"> Przewiduje się rozbudowanie zakładu o część przeznaczoną na organizację</w:t>
      </w:r>
      <w:r w:rsidRPr="00497696">
        <w:rPr>
          <w:rFonts w:cs="Times New Roman"/>
          <w:bCs/>
        </w:rPr>
        <w:t xml:space="preserve"> zaplecza socjalnego, szatnie, stołówki, węzły sanitarne oraz śluzy higieniczne prowadzące do części produkcyjnej.</w:t>
      </w:r>
      <w:r w:rsidR="00435574">
        <w:rPr>
          <w:rFonts w:cs="Times New Roman"/>
          <w:bCs/>
        </w:rPr>
        <w:t xml:space="preserve"> Celem przebudowy części produkcyjnej </w:t>
      </w:r>
      <w:r w:rsidR="00B923E0" w:rsidRPr="00497696">
        <w:rPr>
          <w:rFonts w:cs="Times New Roman"/>
          <w:bCs/>
        </w:rPr>
        <w:t xml:space="preserve">będzie stworzenie spójnej infrastrukturalnie przestrzeni do instalacji ciągów technologicznych, </w:t>
      </w:r>
      <w:r w:rsidR="00435574">
        <w:rPr>
          <w:rFonts w:cs="Times New Roman"/>
          <w:bCs/>
        </w:rPr>
        <w:t xml:space="preserve">instalacji </w:t>
      </w:r>
      <w:r w:rsidR="00B923E0" w:rsidRPr="00497696">
        <w:rPr>
          <w:rFonts w:cs="Times New Roman"/>
          <w:bCs/>
        </w:rPr>
        <w:t>kanałowego systemu usuwania odpadów, ułożenie posadzek przemysłowych, organizacja pomieszczeń do infrastruktury wspomagającej produkcję oraz instalacja cokołów odbojów, bram zewnętrznych i wewnętrznych oraz instalacji w tym elektrycznej, wodnej, kanalizacyjnej jak też instalacji wymaganych przez realizowaną technologię produkcji. Po zakończeniu rozbudowy i przebudowy rozpocznie się realizacja drugiego etapu inwestycji, polegającego na instalacji produkcyjnych ciągów technologicznych.</w:t>
      </w:r>
    </w:p>
    <w:p w:rsidR="003E12C1" w:rsidRDefault="003E12C1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</w:p>
    <w:p w:rsidR="007D13F0" w:rsidRDefault="007D13F0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</w:p>
    <w:p w:rsidR="00E23DE1" w:rsidRPr="007B318A" w:rsidRDefault="003F05BF" w:rsidP="007B318A">
      <w:pPr>
        <w:pStyle w:val="Standard"/>
        <w:spacing w:line="360" w:lineRule="auto"/>
        <w:jc w:val="both"/>
      </w:pPr>
      <w:r>
        <w:tab/>
      </w:r>
    </w:p>
    <w:sectPr w:rsidR="00E23DE1" w:rsidRPr="007B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1C80C52"/>
    <w:multiLevelType w:val="hybridMultilevel"/>
    <w:tmpl w:val="DDF2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1C80"/>
    <w:multiLevelType w:val="multilevel"/>
    <w:tmpl w:val="3D2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781666B"/>
    <w:multiLevelType w:val="multilevel"/>
    <w:tmpl w:val="B5C0087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7"/>
    <w:rsid w:val="00056464"/>
    <w:rsid w:val="00064DBF"/>
    <w:rsid w:val="000A5358"/>
    <w:rsid w:val="0012405C"/>
    <w:rsid w:val="00292897"/>
    <w:rsid w:val="002D6D33"/>
    <w:rsid w:val="003E12C1"/>
    <w:rsid w:val="003F05BF"/>
    <w:rsid w:val="00435574"/>
    <w:rsid w:val="00466097"/>
    <w:rsid w:val="0048131E"/>
    <w:rsid w:val="00497696"/>
    <w:rsid w:val="00541471"/>
    <w:rsid w:val="00572B1E"/>
    <w:rsid w:val="005B7C12"/>
    <w:rsid w:val="00647FE0"/>
    <w:rsid w:val="00690831"/>
    <w:rsid w:val="006A7AC0"/>
    <w:rsid w:val="006C572C"/>
    <w:rsid w:val="00700DE0"/>
    <w:rsid w:val="0070533F"/>
    <w:rsid w:val="00732D60"/>
    <w:rsid w:val="0073494A"/>
    <w:rsid w:val="007A7AE3"/>
    <w:rsid w:val="007B318A"/>
    <w:rsid w:val="007B70B9"/>
    <w:rsid w:val="007D13F0"/>
    <w:rsid w:val="008A13C0"/>
    <w:rsid w:val="008A4A42"/>
    <w:rsid w:val="00906FD5"/>
    <w:rsid w:val="009C2B1B"/>
    <w:rsid w:val="00A751FB"/>
    <w:rsid w:val="00B12902"/>
    <w:rsid w:val="00B842FA"/>
    <w:rsid w:val="00B923E0"/>
    <w:rsid w:val="00C8379C"/>
    <w:rsid w:val="00CC5777"/>
    <w:rsid w:val="00D0123B"/>
    <w:rsid w:val="00D13C9A"/>
    <w:rsid w:val="00D74131"/>
    <w:rsid w:val="00D7791A"/>
    <w:rsid w:val="00DF5D31"/>
    <w:rsid w:val="00E23DE1"/>
    <w:rsid w:val="00EB121F"/>
    <w:rsid w:val="00EC5888"/>
    <w:rsid w:val="00F3683E"/>
    <w:rsid w:val="00FC1673"/>
    <w:rsid w:val="00FD48FF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7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C5777"/>
  </w:style>
  <w:style w:type="paragraph" w:customStyle="1" w:styleId="TableContents">
    <w:name w:val="Table Contents"/>
    <w:basedOn w:val="Normalny"/>
    <w:rsid w:val="00DF5D31"/>
    <w:pPr>
      <w:suppressLineNumbers/>
      <w:autoSpaceDN w:val="0"/>
      <w:spacing w:line="240" w:lineRule="auto"/>
    </w:pPr>
    <w:rPr>
      <w:kern w:val="3"/>
      <w:lang w:eastAsia="zh-CN"/>
    </w:rPr>
  </w:style>
  <w:style w:type="numbering" w:customStyle="1" w:styleId="WW8Num1">
    <w:name w:val="WW8Num1"/>
    <w:basedOn w:val="Bezlisty"/>
    <w:rsid w:val="00DF5D3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49769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xt-new">
    <w:name w:val="txt-new"/>
    <w:basedOn w:val="Domylnaczcionkaakapitu"/>
    <w:rsid w:val="00497696"/>
  </w:style>
  <w:style w:type="paragraph" w:customStyle="1" w:styleId="Standard">
    <w:name w:val="Standard"/>
    <w:rsid w:val="00497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1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AC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7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C5777"/>
  </w:style>
  <w:style w:type="paragraph" w:customStyle="1" w:styleId="TableContents">
    <w:name w:val="Table Contents"/>
    <w:basedOn w:val="Normalny"/>
    <w:rsid w:val="00DF5D31"/>
    <w:pPr>
      <w:suppressLineNumbers/>
      <w:autoSpaceDN w:val="0"/>
      <w:spacing w:line="240" w:lineRule="auto"/>
    </w:pPr>
    <w:rPr>
      <w:kern w:val="3"/>
      <w:lang w:eastAsia="zh-CN"/>
    </w:rPr>
  </w:style>
  <w:style w:type="numbering" w:customStyle="1" w:styleId="WW8Num1">
    <w:name w:val="WW8Num1"/>
    <w:basedOn w:val="Bezlisty"/>
    <w:rsid w:val="00DF5D3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49769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xt-new">
    <w:name w:val="txt-new"/>
    <w:basedOn w:val="Domylnaczcionkaakapitu"/>
    <w:rsid w:val="00497696"/>
  </w:style>
  <w:style w:type="paragraph" w:customStyle="1" w:styleId="Standard">
    <w:name w:val="Standard"/>
    <w:rsid w:val="00497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1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AC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zaluski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ugzaluski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zaluski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D681-28BC-45EB-AA4F-A5EE603D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11</Pages>
  <Words>3137</Words>
  <Characters>18825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m.kretkiewicz</dc:creator>
  <cp:lastModifiedBy>m.kretkiewicz</cp:lastModifiedBy>
  <cp:revision>37</cp:revision>
  <cp:lastPrinted>2015-02-03T12:23:00Z</cp:lastPrinted>
  <dcterms:created xsi:type="dcterms:W3CDTF">2015-01-23T10:49:00Z</dcterms:created>
  <dcterms:modified xsi:type="dcterms:W3CDTF">2015-02-04T07:08:00Z</dcterms:modified>
</cp:coreProperties>
</file>